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B97F" w14:textId="77777777" w:rsidR="0056233E" w:rsidRPr="002455A9" w:rsidRDefault="0056233E" w:rsidP="0056233E">
      <w:pPr>
        <w:rPr>
          <w:rFonts w:ascii="Arial" w:hAnsi="Arial" w:cs="Arial"/>
          <w:b/>
          <w:bCs/>
        </w:rPr>
      </w:pPr>
      <w:r w:rsidRPr="002455A9">
        <w:rPr>
          <w:rFonts w:ascii="Arial" w:hAnsi="Arial" w:cs="Arial"/>
          <w:b/>
          <w:bCs/>
        </w:rPr>
        <w:t>RESOCONTO SINTETICO DELLA CONFERENZA COMUNALE PER L’EDILIZIA DI MERCOLEDI’ 03 DICEMBRE 2025</w:t>
      </w:r>
    </w:p>
    <w:p w14:paraId="7E4042AD" w14:textId="77777777" w:rsidR="0056233E" w:rsidRPr="002455A9" w:rsidRDefault="0056233E" w:rsidP="0056233E">
      <w:pPr>
        <w:jc w:val="both"/>
        <w:rPr>
          <w:rFonts w:ascii="Arial" w:hAnsi="Arial" w:cs="Arial"/>
        </w:rPr>
      </w:pPr>
      <w:r w:rsidRPr="002455A9">
        <w:rPr>
          <w:rFonts w:ascii="Arial" w:hAnsi="Arial" w:cs="Arial"/>
        </w:rPr>
        <w:t>La Conferenza Comunale per l’Edilizia (riunione periodica tra Amministrazione e rappresentanti di ordini professionali e categorie coinvolte nell’edilizia) ha affrontato nell’ultima seduta diversi aggiornamenti normativi e operativi di rilievo di seguito una sintesi completa.</w:t>
      </w:r>
    </w:p>
    <w:p w14:paraId="32F7281E" w14:textId="2DBDA035" w:rsidR="002455A9" w:rsidRPr="002455A9" w:rsidRDefault="0056233E" w:rsidP="002455A9">
      <w:pPr>
        <w:jc w:val="both"/>
      </w:pPr>
      <w:r w:rsidRPr="002455A9">
        <w:rPr>
          <w:rFonts w:ascii="Arial" w:hAnsi="Arial" w:cs="Arial"/>
          <w:b/>
          <w:bCs/>
        </w:rPr>
        <w:t>Copertura dei Campi Sportivi.</w:t>
      </w:r>
      <w:r w:rsidRPr="002455A9">
        <w:rPr>
          <w:rFonts w:ascii="Arial" w:hAnsi="Arial" w:cs="Arial"/>
        </w:rPr>
        <w:t xml:space="preserve"> L’arch. Nora Bruzzone, dirigente Direzione Pianificazione Urbanistica, ha portato a conoscenza la necessità di trovare una normativa che consenta di accettare progetti di copertura dei campi sportivi, considerando le differenze territoriali e le criticità evidenziate da una sentenza precedente</w:t>
      </w:r>
      <w:r w:rsidR="00E67070" w:rsidRPr="002455A9">
        <w:rPr>
          <w:rFonts w:ascii="Arial" w:hAnsi="Arial" w:cs="Arial"/>
        </w:rPr>
        <w:t>.</w:t>
      </w:r>
      <w:r w:rsidR="002455A9">
        <w:rPr>
          <w:rFonts w:ascii="Arial" w:hAnsi="Arial" w:cs="Arial"/>
        </w:rPr>
        <w:t xml:space="preserve"> </w:t>
      </w:r>
      <w:r w:rsidRPr="002455A9">
        <w:rPr>
          <w:rFonts w:ascii="Arial" w:hAnsi="Arial" w:cs="Arial"/>
        </w:rPr>
        <w:t>Per una nuova normativ</w:t>
      </w:r>
      <w:r w:rsidR="00E67070" w:rsidRPr="002455A9">
        <w:rPr>
          <w:rFonts w:ascii="Arial" w:hAnsi="Arial" w:cs="Arial"/>
        </w:rPr>
        <w:t>a</w:t>
      </w:r>
      <w:r w:rsidRPr="002455A9">
        <w:rPr>
          <w:rFonts w:ascii="Arial" w:hAnsi="Arial" w:cs="Arial"/>
        </w:rPr>
        <w:t xml:space="preserve"> ha proposto </w:t>
      </w:r>
      <w:r w:rsidR="00E67070" w:rsidRPr="002455A9">
        <w:t>di intervenire sulle norme d'ambito per consentire la realizzazione di coperture per gli impianti sportivi esistenti,</w:t>
      </w:r>
      <w:r w:rsidR="002455A9">
        <w:t xml:space="preserve"> </w:t>
      </w:r>
      <w:r w:rsidR="00E67070" w:rsidRPr="002455A9">
        <w:t>distinguendo quindi tra nuove costruzioni e attrezzature esistenti. Ha sottolineato l'importanza di avere linee guida chiare</w:t>
      </w:r>
      <w:r w:rsidR="00990E4B">
        <w:t xml:space="preserve"> e</w:t>
      </w:r>
      <w:r w:rsidR="00990E4B" w:rsidRPr="00990E4B">
        <w:rPr>
          <w:color w:val="EE0000"/>
        </w:rPr>
        <w:t xml:space="preserve"> </w:t>
      </w:r>
      <w:r w:rsidR="00990E4B" w:rsidRPr="00990E4B">
        <w:t>specifiche, considerando le caratteristiche del territorio e le esigenze delle società sportive</w:t>
      </w:r>
      <w:r w:rsidR="00990E4B" w:rsidRPr="00990E4B">
        <w:t>, nonché</w:t>
      </w:r>
      <w:r w:rsidR="00E67070" w:rsidRPr="00990E4B">
        <w:t xml:space="preserve"> </w:t>
      </w:r>
      <w:r w:rsidR="00E67070" w:rsidRPr="002455A9">
        <w:t xml:space="preserve">oggetti facilmente reperibili e coerenti con i costi.  Sono stati evidenziati i problemi tecnici riscontrati con le coperture trasparenti, che si sono rivelate non realizzabili. </w:t>
      </w:r>
      <w:r w:rsidR="009F77DE">
        <w:t xml:space="preserve">Si </w:t>
      </w:r>
      <w:r w:rsidR="000A0338">
        <w:t xml:space="preserve">è </w:t>
      </w:r>
      <w:r w:rsidR="000A0338" w:rsidRPr="002455A9">
        <w:t>sottolineato</w:t>
      </w:r>
      <w:r w:rsidR="00E67070" w:rsidRPr="002455A9">
        <w:t xml:space="preserve"> la necessità di avere materiali adeguati e di evitare in futuro scenari simili alla copertura di Corso A. Saffi, per tutelare entrambe le parti coinvolte.  Per quanto riguarda le esigenze delle Società sportive si </w:t>
      </w:r>
      <w:r w:rsidR="001D400A">
        <w:t>rileva</w:t>
      </w:r>
      <w:r w:rsidR="00E67070" w:rsidRPr="002455A9">
        <w:t xml:space="preserve"> l'importanza di avere coperture impermeabili e termiche per permettere l'uso degli impianti sportivi tutto l'anno. </w:t>
      </w:r>
      <w:r w:rsidR="000A0338">
        <w:t>Si evidenzia</w:t>
      </w:r>
      <w:r w:rsidR="00E67070" w:rsidRPr="002455A9">
        <w:t xml:space="preserve"> la necessità di prendere decisioni impopolari quando necessario e di disciplinare le coperture in base alle caratteristiche del territorio. </w:t>
      </w:r>
      <w:r w:rsidR="002455A9" w:rsidRPr="002455A9">
        <w:t xml:space="preserve"> </w:t>
      </w:r>
      <w:r w:rsidR="00B56A86">
        <w:t xml:space="preserve">Si </w:t>
      </w:r>
      <w:r w:rsidR="00B56A86" w:rsidRPr="002455A9">
        <w:t>lavorerà</w:t>
      </w:r>
      <w:r w:rsidR="002455A9" w:rsidRPr="002455A9">
        <w:t xml:space="preserve"> su una bozza di norma</w:t>
      </w:r>
      <w:r w:rsidR="00B56A86">
        <w:t xml:space="preserve"> da condividere al prossimo incontro</w:t>
      </w:r>
      <w:r w:rsidR="009E3AF0">
        <w:t xml:space="preserve">, </w:t>
      </w:r>
      <w:r w:rsidR="00B56A86">
        <w:t>includendo suggerimenti su esempi</w:t>
      </w:r>
      <w:r w:rsidR="002455A9" w:rsidRPr="002455A9">
        <w:t xml:space="preserve"> d</w:t>
      </w:r>
      <w:r w:rsidR="00B56A86">
        <w:t>i</w:t>
      </w:r>
      <w:r w:rsidR="002455A9" w:rsidRPr="002455A9">
        <w:t xml:space="preserve"> altre città</w:t>
      </w:r>
      <w:r w:rsidR="00B56A86">
        <w:t xml:space="preserve"> e strutture da prendere come riferimento</w:t>
      </w:r>
      <w:r w:rsidR="002455A9" w:rsidRPr="002455A9">
        <w:t>.  </w:t>
      </w:r>
    </w:p>
    <w:p w14:paraId="6C5732F7" w14:textId="4CC401CB" w:rsidR="00E67070" w:rsidRDefault="002455A9" w:rsidP="00E67070">
      <w:pPr>
        <w:jc w:val="both"/>
      </w:pPr>
      <w:r w:rsidRPr="002455A9">
        <w:rPr>
          <w:b/>
          <w:bCs/>
        </w:rPr>
        <w:t xml:space="preserve">Articolo 14 comma 8 e Impatti Ambientali. </w:t>
      </w:r>
      <w:r>
        <w:t>L’arch</w:t>
      </w:r>
      <w:r w:rsidR="0047019F">
        <w:t>.</w:t>
      </w:r>
      <w:r>
        <w:t xml:space="preserve"> Nora Bruzzone ha discusso la revisione dell’art. 14 per renderlo più stringente, richiedendo una relazione sugli impatti ambientali dei progetti.</w:t>
      </w:r>
      <w:r w:rsidR="00B56A86">
        <w:t xml:space="preserve"> Durante la discussione sull’impatto ambientale, è stata proposta l’integrazione di vasche di laminazione nelle nuove rotonde stradali come misura di recupero e la gestione delle acque piovane, con l’intenzione di valutarne la prescrittività di tale soluzione nei progetti futuri.</w:t>
      </w:r>
      <w:r>
        <w:t xml:space="preserve"> </w:t>
      </w:r>
      <w:r w:rsidR="001B3745">
        <w:t xml:space="preserve">La direzione Pianificazione Urbanistica sta seguendo il progetto REMed sul cambiamento climatico e le azioni compensative. </w:t>
      </w:r>
      <w:r w:rsidR="0047019F">
        <w:t xml:space="preserve">È stata sottolineata l’importanza di sensibilizzare i professionisti su questi argomenti, di organizzare convegni e seminari con gli ordini professionali per creare un dibattito sul tema </w:t>
      </w:r>
      <w:r w:rsidR="001B3745">
        <w:t xml:space="preserve">e di </w:t>
      </w:r>
      <w:r w:rsidR="001B3745" w:rsidRPr="00B56A86">
        <w:t>utilizzare i risultati del progetto per migliorare la progettazione urbana.</w:t>
      </w:r>
      <w:r w:rsidR="00B56A86" w:rsidRPr="00B56A86">
        <w:t xml:space="preserve"> Si propone la costruzione di una griglia di argomenti da condividere con i partecipanti per eventuali osservazioni e per la costruzione condivisa del documento.</w:t>
      </w:r>
    </w:p>
    <w:p w14:paraId="5216BD44" w14:textId="3892C92C" w:rsidR="00553D1A" w:rsidRDefault="001B3745" w:rsidP="00553D1A">
      <w:pPr>
        <w:spacing w:line="278" w:lineRule="auto"/>
        <w:jc w:val="both"/>
      </w:pPr>
      <w:r w:rsidRPr="00553D1A">
        <w:rPr>
          <w:b/>
          <w:bCs/>
        </w:rPr>
        <w:t xml:space="preserve">Cambi d’uso e Sicurezza. </w:t>
      </w:r>
      <w:r w:rsidRPr="001B3745">
        <w:t xml:space="preserve">L’arch. Federica Alcozer, dirigente Direzione Urbanistica Attuativa </w:t>
      </w:r>
      <w:r w:rsidR="00553D1A">
        <w:t>e Edilizia</w:t>
      </w:r>
      <w:r w:rsidRPr="001B3745">
        <w:t xml:space="preserve"> Privata</w:t>
      </w:r>
      <w:r>
        <w:t xml:space="preserve">, ha discusso le problematiche legati ai cambi d’uso, in particolare al piano terra, </w:t>
      </w:r>
      <w:r w:rsidR="00553D1A">
        <w:t>e l’importanza di tutelare i servizi di prossimità e la sicurezza. Ha evidenziato la necessità di limitare i cambi d’uso residenziali al piano terra in aree a rischio allagamenti e adottare criteri applicativi chiari per valutare le istanze. Ha annunciato che i nuovi criteri applicativi per i cambi d’uso saranno adottati con delibera di giunta e pubblicat</w:t>
      </w:r>
      <w:r w:rsidR="0047019F">
        <w:t>a</w:t>
      </w:r>
      <w:r w:rsidR="00553D1A">
        <w:t xml:space="preserve"> sul sito del Comune di Genova dopo l’approvazione. Le pratiche dovranno essere analizzate secondo i nuovi criteri, rendendo il processo più trasparente e uniforme. È stato specificato che tutto ciò non modifica gli strumenti urbanistici esistenti, ma serve a chiarire e cristallizzare le modalità di valutazione delle pratiche, evitando discrezionalità e disuguaglianze. I numeri delle pratiche di cambio d’uso formalmente</w:t>
      </w:r>
      <w:r w:rsidR="0047019F">
        <w:t xml:space="preserve"> presentate</w:t>
      </w:r>
      <w:r w:rsidR="00553D1A">
        <w:t xml:space="preserve"> sono pochi per area, ma informalmente ci sono molte più richieste, soprattutto per il residenziale nelle zone centrali del Levante. Ha sottolineato che i criteri saranno applicati istanza per istanza e che non comport</w:t>
      </w:r>
      <w:r w:rsidR="00B56A86">
        <w:t>eranno</w:t>
      </w:r>
      <w:r w:rsidR="00553D1A">
        <w:t xml:space="preserve"> un rifiuto automatico, ma aiutano a valutare meglio le richieste, senza modificare le possibilità offerte dal PUC o dal decreto salva casa. </w:t>
      </w:r>
      <w:r w:rsidR="002E7E75">
        <w:t xml:space="preserve">L’arch. Federica Alcozer ha presentato un’analisi del commercio di prossimità, evidenziando la crisi delle piccole attività commerciali e la necessità di tutelare il tessuto commerciale esistente. Ha sottolineato l’importanza di sovrapporre i dati del PUC con quelli </w:t>
      </w:r>
      <w:r w:rsidR="002E7E75">
        <w:lastRenderedPageBreak/>
        <w:t xml:space="preserve">delle discipline commerciali per individuare aree di fragilità. </w:t>
      </w:r>
      <w:r w:rsidR="00553D1A">
        <w:t>Di seguito è stato affrontato il problema della crisi dei mercati rionali</w:t>
      </w:r>
      <w:r w:rsidR="00B56A86">
        <w:t xml:space="preserve"> genovesi</w:t>
      </w:r>
      <w:r w:rsidR="00553D1A">
        <w:t>, con la necessità di trovare soluzioni logiche per evitare che le unità immobiliari restino chiuse e per sostenere il tessuto commerciale locale</w:t>
      </w:r>
      <w:r w:rsidR="002E7E75">
        <w:t>. Si è parlato di esperienze virtuose in altre città europee (Spagna e Francia) per la riqualificazione dei mercati rionali</w:t>
      </w:r>
      <w:r w:rsidR="00B56A86">
        <w:t xml:space="preserve">, </w:t>
      </w:r>
      <w:r w:rsidR="002E7E75">
        <w:t>dove sono stati trasformati in luoghi che offrono servizi gastronomici e attrazioni, suggerendo di mantenere una funzione di servizio pubblico o associativo</w:t>
      </w:r>
      <w:r w:rsidR="00B56A86">
        <w:t xml:space="preserve"> e di aggregazione</w:t>
      </w:r>
      <w:r w:rsidR="002E7E75">
        <w:t xml:space="preserve"> e di sperimentare modelli che integrino servizi e attività commerciali.</w:t>
      </w:r>
    </w:p>
    <w:p w14:paraId="51AB9858" w14:textId="4D67CD9E" w:rsidR="00553D1A" w:rsidRDefault="00553D1A" w:rsidP="00553D1A">
      <w:pPr>
        <w:spacing w:line="278" w:lineRule="auto"/>
        <w:jc w:val="both"/>
      </w:pPr>
    </w:p>
    <w:p w14:paraId="0BB43196" w14:textId="3F004987" w:rsidR="00553D1A" w:rsidRPr="001B3745" w:rsidRDefault="00553D1A" w:rsidP="001B3745">
      <w:pPr>
        <w:jc w:val="both"/>
      </w:pPr>
    </w:p>
    <w:p w14:paraId="6EC3BBB9" w14:textId="2A943790" w:rsidR="001B3745" w:rsidRPr="001B3745" w:rsidRDefault="001B3745" w:rsidP="00E67070">
      <w:pPr>
        <w:jc w:val="both"/>
      </w:pPr>
    </w:p>
    <w:p w14:paraId="5014641C" w14:textId="684B23AA" w:rsidR="00E67070" w:rsidRPr="002455A9" w:rsidRDefault="00E67070" w:rsidP="00E67070">
      <w:pPr>
        <w:jc w:val="both"/>
      </w:pPr>
    </w:p>
    <w:p w14:paraId="06BD0833" w14:textId="0E6B4875" w:rsidR="0056233E" w:rsidRPr="002455A9" w:rsidRDefault="0056233E" w:rsidP="0056233E">
      <w:pPr>
        <w:jc w:val="both"/>
        <w:rPr>
          <w:rFonts w:ascii="Arial" w:hAnsi="Arial" w:cs="Arial"/>
        </w:rPr>
      </w:pPr>
    </w:p>
    <w:p w14:paraId="04429D30" w14:textId="4B680CB3" w:rsidR="0056233E" w:rsidRPr="0056233E" w:rsidRDefault="0056233E" w:rsidP="0056233E">
      <w:pPr>
        <w:jc w:val="both"/>
        <w:rPr>
          <w:sz w:val="24"/>
          <w:szCs w:val="24"/>
        </w:rPr>
      </w:pPr>
    </w:p>
    <w:sectPr w:rsidR="0056233E" w:rsidRPr="005623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BD8"/>
    <w:multiLevelType w:val="hybridMultilevel"/>
    <w:tmpl w:val="0EF409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14881"/>
    <w:multiLevelType w:val="hybridMultilevel"/>
    <w:tmpl w:val="7B2814EE"/>
    <w:lvl w:ilvl="0" w:tplc="562C5FD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40CB3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056216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AF08AF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CEAFC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25C8FA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C88B85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E34AA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7AA169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EE10B86"/>
    <w:multiLevelType w:val="multilevel"/>
    <w:tmpl w:val="7AB8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FF4FAF"/>
    <w:multiLevelType w:val="hybridMultilevel"/>
    <w:tmpl w:val="675467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25D8B"/>
    <w:multiLevelType w:val="hybridMultilevel"/>
    <w:tmpl w:val="675480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C4F7E"/>
    <w:multiLevelType w:val="hybridMultilevel"/>
    <w:tmpl w:val="E83C05AC"/>
    <w:lvl w:ilvl="0" w:tplc="E07A2B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872E9"/>
    <w:multiLevelType w:val="multilevel"/>
    <w:tmpl w:val="6E5A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0602B6"/>
    <w:multiLevelType w:val="hybridMultilevel"/>
    <w:tmpl w:val="50040C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05D0F"/>
    <w:multiLevelType w:val="multilevel"/>
    <w:tmpl w:val="97C8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AE461F"/>
    <w:multiLevelType w:val="hybridMultilevel"/>
    <w:tmpl w:val="A698C1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222FC"/>
    <w:multiLevelType w:val="hybridMultilevel"/>
    <w:tmpl w:val="48CE9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361C1"/>
    <w:multiLevelType w:val="hybridMultilevel"/>
    <w:tmpl w:val="45EA7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44441">
    <w:abstractNumId w:val="4"/>
  </w:num>
  <w:num w:numId="2" w16cid:durableId="2117173208">
    <w:abstractNumId w:val="9"/>
  </w:num>
  <w:num w:numId="3" w16cid:durableId="1443567941">
    <w:abstractNumId w:val="3"/>
  </w:num>
  <w:num w:numId="4" w16cid:durableId="321813379">
    <w:abstractNumId w:val="11"/>
  </w:num>
  <w:num w:numId="5" w16cid:durableId="506360197">
    <w:abstractNumId w:val="5"/>
  </w:num>
  <w:num w:numId="6" w16cid:durableId="1193497225">
    <w:abstractNumId w:val="7"/>
  </w:num>
  <w:num w:numId="7" w16cid:durableId="2045251270">
    <w:abstractNumId w:val="0"/>
  </w:num>
  <w:num w:numId="8" w16cid:durableId="1824929379">
    <w:abstractNumId w:val="10"/>
  </w:num>
  <w:num w:numId="9" w16cid:durableId="2091847003">
    <w:abstractNumId w:val="8"/>
  </w:num>
  <w:num w:numId="10" w16cid:durableId="1230388155">
    <w:abstractNumId w:val="6"/>
  </w:num>
  <w:num w:numId="11" w16cid:durableId="720708081">
    <w:abstractNumId w:val="2"/>
  </w:num>
  <w:num w:numId="12" w16cid:durableId="184126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3E"/>
    <w:rsid w:val="000A0338"/>
    <w:rsid w:val="001B3745"/>
    <w:rsid w:val="001D400A"/>
    <w:rsid w:val="002455A9"/>
    <w:rsid w:val="002E7E75"/>
    <w:rsid w:val="004178BF"/>
    <w:rsid w:val="00421C35"/>
    <w:rsid w:val="0047019F"/>
    <w:rsid w:val="00553D1A"/>
    <w:rsid w:val="0056233E"/>
    <w:rsid w:val="005703C1"/>
    <w:rsid w:val="00742035"/>
    <w:rsid w:val="007A7625"/>
    <w:rsid w:val="00990E4B"/>
    <w:rsid w:val="009E3AF0"/>
    <w:rsid w:val="009F77DE"/>
    <w:rsid w:val="00B56A86"/>
    <w:rsid w:val="00BA264B"/>
    <w:rsid w:val="00E4356D"/>
    <w:rsid w:val="00E67070"/>
    <w:rsid w:val="00EA3D74"/>
    <w:rsid w:val="00EB1B9F"/>
    <w:rsid w:val="00F0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81E4"/>
  <w15:chartTrackingRefBased/>
  <w15:docId w15:val="{0BF3443C-D8F9-4D51-97B5-D1C1C060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33E"/>
  </w:style>
  <w:style w:type="paragraph" w:styleId="Titolo1">
    <w:name w:val="heading 1"/>
    <w:basedOn w:val="Normale"/>
    <w:next w:val="Normale"/>
    <w:link w:val="Titolo1Carattere"/>
    <w:uiPriority w:val="9"/>
    <w:qFormat/>
    <w:rsid w:val="00562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2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2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2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2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2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2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2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2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2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23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23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23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23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23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23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2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2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2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2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23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23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23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2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23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2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709C5-91F6-42E7-A4C4-AA570952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748</Words>
  <Characters>4499</Characters>
  <Application>Microsoft Office Word</Application>
  <DocSecurity>0</DocSecurity>
  <Lines>60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Genova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Borriello Gabriella</dc:creator>
  <cp:keywords/>
  <dc:description/>
  <cp:lastModifiedBy>Borriello Gabriella</cp:lastModifiedBy>
  <cp:revision>11</cp:revision>
  <dcterms:created xsi:type="dcterms:W3CDTF">2025-12-10T14:52:00Z</dcterms:created>
  <dcterms:modified xsi:type="dcterms:W3CDTF">2025-12-12T12:44:00Z</dcterms:modified>
</cp:coreProperties>
</file>